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8DD" w:rsidRPr="002678DD" w:rsidRDefault="002678DD" w:rsidP="002678DD">
      <w:pPr>
        <w:spacing w:after="115" w:line="240" w:lineRule="auto"/>
        <w:outlineLvl w:val="0"/>
        <w:rPr>
          <w:rFonts w:ascii="Arial" w:eastAsia="Times New Roman" w:hAnsi="Arial" w:cs="Arial"/>
          <w:color w:val="444444"/>
          <w:kern w:val="36"/>
          <w:sz w:val="20"/>
          <w:szCs w:val="20"/>
          <w:lang w:val="ro-RO"/>
        </w:rPr>
      </w:pPr>
      <w:r w:rsidRPr="002678DD">
        <w:rPr>
          <w:rFonts w:ascii="Arial" w:eastAsia="Times New Roman" w:hAnsi="Arial" w:cs="Arial"/>
          <w:color w:val="444444"/>
          <w:kern w:val="36"/>
          <w:sz w:val="20"/>
          <w:szCs w:val="20"/>
          <w:lang w:val="ro-RO"/>
        </w:rPr>
        <w:t>Cadrul Legislativ</w:t>
      </w:r>
    </w:p>
    <w:p w:rsidR="002678DD" w:rsidRPr="002678DD" w:rsidRDefault="002678DD" w:rsidP="002678DD">
      <w:pPr>
        <w:spacing w:before="100" w:beforeAutospacing="1" w:after="100" w:afterAutospacing="1" w:line="240" w:lineRule="auto"/>
        <w:rPr>
          <w:rFonts w:ascii="Arial" w:eastAsia="Times New Roman" w:hAnsi="Arial" w:cs="Arial"/>
          <w:color w:val="444444"/>
          <w:sz w:val="20"/>
          <w:szCs w:val="20"/>
          <w:lang w:val="ro-RO"/>
        </w:rPr>
      </w:pPr>
      <w:r w:rsidRPr="002678DD">
        <w:rPr>
          <w:rFonts w:ascii="Arial" w:eastAsia="Times New Roman" w:hAnsi="Arial" w:cs="Arial"/>
          <w:b/>
          <w:bCs/>
          <w:color w:val="444444"/>
          <w:sz w:val="20"/>
          <w:szCs w:val="20"/>
          <w:lang w:val="ro-RO"/>
        </w:rPr>
        <w:t>Administraţia publică locală</w:t>
      </w:r>
      <w:r w:rsidRPr="002678DD">
        <w:rPr>
          <w:rFonts w:ascii="Arial" w:eastAsia="Times New Roman" w:hAnsi="Arial" w:cs="Arial"/>
          <w:color w:val="444444"/>
          <w:sz w:val="20"/>
          <w:szCs w:val="20"/>
          <w:lang w:val="ro-RO"/>
        </w:rPr>
        <w:t xml:space="preserve"> este o structură administrativă care permite colectivităţilor locale să-şi soluţioneze problemele locale prin autorităţi proprii, sub controlul autorităţilor statale.</w:t>
      </w:r>
    </w:p>
    <w:p w:rsidR="002678DD" w:rsidRPr="002678DD" w:rsidRDefault="002678DD" w:rsidP="002678DD">
      <w:pPr>
        <w:spacing w:before="100" w:beforeAutospacing="1" w:after="100" w:afterAutospacing="1" w:line="240" w:lineRule="auto"/>
        <w:rPr>
          <w:rFonts w:ascii="Arial" w:eastAsia="Times New Roman" w:hAnsi="Arial" w:cs="Arial"/>
          <w:color w:val="444444"/>
          <w:sz w:val="20"/>
          <w:szCs w:val="20"/>
          <w:lang w:val="ro-RO"/>
        </w:rPr>
      </w:pPr>
      <w:r w:rsidRPr="002678DD">
        <w:rPr>
          <w:rFonts w:ascii="Arial" w:eastAsia="Times New Roman" w:hAnsi="Arial" w:cs="Arial"/>
          <w:color w:val="444444"/>
          <w:sz w:val="20"/>
          <w:szCs w:val="20"/>
          <w:lang w:val="ro-RO"/>
        </w:rPr>
        <w:t xml:space="preserve">Administratia publica locala ca si alte domenii de activitate, se afla in plin proces de reforma prin asezarea la baza ei a </w:t>
      </w:r>
      <w:r w:rsidRPr="002678DD">
        <w:rPr>
          <w:rFonts w:ascii="Arial" w:eastAsia="Times New Roman" w:hAnsi="Arial" w:cs="Arial"/>
          <w:b/>
          <w:bCs/>
          <w:color w:val="444444"/>
          <w:sz w:val="20"/>
          <w:szCs w:val="20"/>
          <w:lang w:val="ro-RO"/>
        </w:rPr>
        <w:t>principiilor</w:t>
      </w:r>
      <w:r w:rsidRPr="002678DD">
        <w:rPr>
          <w:rFonts w:ascii="Arial" w:eastAsia="Times New Roman" w:hAnsi="Arial" w:cs="Arial"/>
          <w:color w:val="444444"/>
          <w:sz w:val="20"/>
          <w:szCs w:val="20"/>
          <w:lang w:val="ro-RO"/>
        </w:rPr>
        <w:t xml:space="preserve"> statului de drept – </w:t>
      </w:r>
      <w:r w:rsidRPr="002678DD">
        <w:rPr>
          <w:rFonts w:ascii="Arial" w:eastAsia="Times New Roman" w:hAnsi="Arial" w:cs="Arial"/>
          <w:b/>
          <w:bCs/>
          <w:color w:val="444444"/>
          <w:sz w:val="20"/>
          <w:szCs w:val="20"/>
          <w:lang w:val="ro-RO"/>
        </w:rPr>
        <w:t>autonomia locala, descentralizarea serviciilor publice, eligibilitate, legalitate si consultarea cetatenilor</w:t>
      </w:r>
      <w:r w:rsidRPr="002678DD">
        <w:rPr>
          <w:rFonts w:ascii="Arial" w:eastAsia="Times New Roman" w:hAnsi="Arial" w:cs="Arial"/>
          <w:color w:val="444444"/>
          <w:sz w:val="20"/>
          <w:szCs w:val="20"/>
          <w:lang w:val="ro-RO"/>
        </w:rPr>
        <w:t>.</w:t>
      </w:r>
    </w:p>
    <w:p w:rsidR="002678DD" w:rsidRPr="002678DD" w:rsidRDefault="002678DD" w:rsidP="002678DD">
      <w:pPr>
        <w:spacing w:before="100" w:beforeAutospacing="1" w:after="100" w:afterAutospacing="1" w:line="240" w:lineRule="auto"/>
        <w:rPr>
          <w:rFonts w:ascii="Arial" w:eastAsia="Times New Roman" w:hAnsi="Arial" w:cs="Arial"/>
          <w:color w:val="444444"/>
          <w:sz w:val="20"/>
          <w:szCs w:val="20"/>
          <w:lang w:val="ro-RO"/>
        </w:rPr>
      </w:pPr>
      <w:r w:rsidRPr="002678DD">
        <w:rPr>
          <w:rFonts w:ascii="Arial" w:eastAsia="Times New Roman" w:hAnsi="Arial" w:cs="Arial"/>
          <w:color w:val="444444"/>
          <w:sz w:val="20"/>
          <w:szCs w:val="20"/>
          <w:lang w:val="ro-RO"/>
        </w:rPr>
        <w:t xml:space="preserve">Prin Legea administratiei publice s-a statuat ca </w:t>
      </w:r>
      <w:r w:rsidRPr="002678DD">
        <w:rPr>
          <w:rFonts w:ascii="Arial" w:eastAsia="Times New Roman" w:hAnsi="Arial" w:cs="Arial"/>
          <w:b/>
          <w:bCs/>
          <w:color w:val="444444"/>
          <w:sz w:val="20"/>
          <w:szCs w:val="20"/>
          <w:lang w:val="ro-RO"/>
        </w:rPr>
        <w:t>autonomia locala</w:t>
      </w:r>
      <w:r w:rsidRPr="002678DD">
        <w:rPr>
          <w:rFonts w:ascii="Arial" w:eastAsia="Times New Roman" w:hAnsi="Arial" w:cs="Arial"/>
          <w:color w:val="444444"/>
          <w:sz w:val="20"/>
          <w:szCs w:val="20"/>
          <w:lang w:val="ro-RO"/>
        </w:rPr>
        <w:t xml:space="preserve"> este numai administrativa, se exercita in cadrul legii, priveste organizarea si functionarea administratiei publice locale.</w:t>
      </w:r>
    </w:p>
    <w:p w:rsidR="002678DD" w:rsidRPr="002678DD" w:rsidRDefault="002678DD" w:rsidP="002678DD">
      <w:pPr>
        <w:spacing w:before="100" w:beforeAutospacing="1" w:after="100" w:afterAutospacing="1" w:line="240" w:lineRule="auto"/>
        <w:rPr>
          <w:rFonts w:ascii="Arial" w:eastAsia="Times New Roman" w:hAnsi="Arial" w:cs="Arial"/>
          <w:color w:val="444444"/>
          <w:sz w:val="20"/>
          <w:szCs w:val="20"/>
          <w:lang w:val="ro-RO"/>
        </w:rPr>
      </w:pPr>
      <w:r w:rsidRPr="002678DD">
        <w:rPr>
          <w:rFonts w:ascii="Arial" w:eastAsia="Times New Roman" w:hAnsi="Arial" w:cs="Arial"/>
          <w:color w:val="444444"/>
          <w:sz w:val="20"/>
          <w:szCs w:val="20"/>
          <w:lang w:val="ro-RO"/>
        </w:rPr>
        <w:t>Autonomia locală conferă autorităţilor publice locale dreptul ca, în limitele legii, să aibă iniţiative în toate domeniile, cu excepţia celor care sunt în mod expres în competenţa altor autorităţi publice.</w:t>
      </w:r>
    </w:p>
    <w:p w:rsidR="002678DD" w:rsidRPr="002678DD" w:rsidRDefault="002678DD" w:rsidP="002678DD">
      <w:pPr>
        <w:spacing w:before="100" w:beforeAutospacing="1" w:after="100" w:afterAutospacing="1" w:line="240" w:lineRule="auto"/>
        <w:rPr>
          <w:rFonts w:ascii="Arial" w:eastAsia="Times New Roman" w:hAnsi="Arial" w:cs="Arial"/>
          <w:color w:val="444444"/>
          <w:sz w:val="20"/>
          <w:szCs w:val="20"/>
          <w:lang w:val="ro-RO"/>
        </w:rPr>
      </w:pPr>
      <w:r w:rsidRPr="002678DD">
        <w:rPr>
          <w:rFonts w:ascii="Arial" w:eastAsia="Times New Roman" w:hAnsi="Arial" w:cs="Arial"/>
          <w:color w:val="444444"/>
          <w:sz w:val="20"/>
          <w:szCs w:val="20"/>
          <w:lang w:val="ro-RO"/>
        </w:rPr>
        <w:t>Oricat de larga este autonomia si deci competenta autoritatilor alese de a rezolva problemele sociale, aceste autoritati desfasoara o activitate in cadrul unui stat (unitar) si nu in afara acestuia.</w:t>
      </w:r>
    </w:p>
    <w:p w:rsidR="002678DD" w:rsidRPr="002678DD" w:rsidRDefault="002678DD" w:rsidP="002678DD">
      <w:pPr>
        <w:spacing w:before="100" w:beforeAutospacing="1" w:after="100" w:afterAutospacing="1" w:line="240" w:lineRule="auto"/>
        <w:rPr>
          <w:rFonts w:ascii="Arial" w:eastAsia="Times New Roman" w:hAnsi="Arial" w:cs="Arial"/>
          <w:color w:val="444444"/>
          <w:sz w:val="20"/>
          <w:szCs w:val="20"/>
          <w:lang w:val="ro-RO"/>
        </w:rPr>
      </w:pPr>
      <w:r w:rsidRPr="002678DD">
        <w:rPr>
          <w:rFonts w:ascii="Arial" w:eastAsia="Times New Roman" w:hAnsi="Arial" w:cs="Arial"/>
          <w:color w:val="444444"/>
          <w:sz w:val="20"/>
          <w:szCs w:val="20"/>
          <w:lang w:val="ro-RO"/>
        </w:rPr>
        <w:t>Conventia Europeana a Autonomiei Locale defineste autonomia locala ca „principiu stabilit prin Constitutie sau prin legile statelor-parti, conferind colectivitatilor locale dreptul si capacitatea de a rezolva şi gestiona in cadrul legii, sub propria lor raspundere si in interesul populatiei acestora, o parte importanta din treburile publice”.</w:t>
      </w:r>
    </w:p>
    <w:p w:rsidR="002678DD" w:rsidRPr="002678DD" w:rsidRDefault="002678DD" w:rsidP="002678DD">
      <w:pPr>
        <w:spacing w:before="100" w:beforeAutospacing="1" w:after="100" w:afterAutospacing="1" w:line="240" w:lineRule="auto"/>
        <w:rPr>
          <w:rFonts w:ascii="Arial" w:eastAsia="Times New Roman" w:hAnsi="Arial" w:cs="Arial"/>
          <w:color w:val="444444"/>
          <w:sz w:val="20"/>
          <w:szCs w:val="20"/>
          <w:lang w:val="ro-RO"/>
        </w:rPr>
      </w:pPr>
      <w:r w:rsidRPr="002678DD">
        <w:rPr>
          <w:rFonts w:ascii="Arial" w:eastAsia="Times New Roman" w:hAnsi="Arial" w:cs="Arial"/>
          <w:color w:val="444444"/>
          <w:sz w:val="20"/>
          <w:szCs w:val="20"/>
          <w:lang w:val="ro-RO"/>
        </w:rPr>
        <w:t>In doctrina romaneasca de drept administrativ, formata mai ales in perioada interbelica, s-a conchis ca „</w:t>
      </w:r>
      <w:r w:rsidRPr="002678DD">
        <w:rPr>
          <w:rFonts w:ascii="Arial" w:eastAsia="Times New Roman" w:hAnsi="Arial" w:cs="Arial"/>
          <w:b/>
          <w:bCs/>
          <w:color w:val="444444"/>
          <w:sz w:val="20"/>
          <w:szCs w:val="20"/>
          <w:lang w:val="ro-RO"/>
        </w:rPr>
        <w:t>administratia reprezinta totalitatea serviciilor publice</w:t>
      </w:r>
      <w:r w:rsidRPr="002678DD">
        <w:rPr>
          <w:rFonts w:ascii="Arial" w:eastAsia="Times New Roman" w:hAnsi="Arial" w:cs="Arial"/>
          <w:color w:val="444444"/>
          <w:sz w:val="20"/>
          <w:szCs w:val="20"/>
          <w:lang w:val="ro-RO"/>
        </w:rPr>
        <w:t>” si că „</w:t>
      </w:r>
      <w:r w:rsidRPr="002678DD">
        <w:rPr>
          <w:rFonts w:ascii="Arial" w:eastAsia="Times New Roman" w:hAnsi="Arial" w:cs="Arial"/>
          <w:b/>
          <w:bCs/>
          <w:color w:val="444444"/>
          <w:sz w:val="20"/>
          <w:szCs w:val="20"/>
          <w:lang w:val="ro-RO"/>
        </w:rPr>
        <w:t>serviciul public este mijlocul prin care administratia isi exercita activitatea</w:t>
      </w:r>
      <w:r w:rsidRPr="002678DD">
        <w:rPr>
          <w:rFonts w:ascii="Arial" w:eastAsia="Times New Roman" w:hAnsi="Arial" w:cs="Arial"/>
          <w:color w:val="444444"/>
          <w:sz w:val="20"/>
          <w:szCs w:val="20"/>
          <w:lang w:val="ro-RO"/>
        </w:rPr>
        <w:t xml:space="preserve">„. Serviciul public se organizeaza de comuna, oras sau judet cand interesul pe care il realizeaza este al colectivitatii respective. Aplicarea concreta a principiului </w:t>
      </w:r>
      <w:r w:rsidRPr="002678DD">
        <w:rPr>
          <w:rFonts w:ascii="Arial" w:eastAsia="Times New Roman" w:hAnsi="Arial" w:cs="Arial"/>
          <w:b/>
          <w:bCs/>
          <w:color w:val="444444"/>
          <w:sz w:val="20"/>
          <w:szCs w:val="20"/>
          <w:lang w:val="ro-RO"/>
        </w:rPr>
        <w:t>descentralizarii serviciilor publice</w:t>
      </w:r>
      <w:r w:rsidRPr="002678DD">
        <w:rPr>
          <w:rFonts w:ascii="Arial" w:eastAsia="Times New Roman" w:hAnsi="Arial" w:cs="Arial"/>
          <w:color w:val="444444"/>
          <w:sz w:val="20"/>
          <w:szCs w:val="20"/>
          <w:lang w:val="ro-RO"/>
        </w:rPr>
        <w:t xml:space="preserve">, este o problema politica, juridica, economica si sociala. </w:t>
      </w:r>
      <w:r w:rsidRPr="002678DD">
        <w:rPr>
          <w:rFonts w:ascii="Arial" w:eastAsia="Times New Roman" w:hAnsi="Arial" w:cs="Arial"/>
          <w:b/>
          <w:bCs/>
          <w:color w:val="444444"/>
          <w:sz w:val="20"/>
          <w:szCs w:val="20"/>
          <w:lang w:val="ro-RO"/>
        </w:rPr>
        <w:t>Eligibilitatea autoritatilor publice locale</w:t>
      </w:r>
      <w:r w:rsidRPr="002678DD">
        <w:rPr>
          <w:rFonts w:ascii="Arial" w:eastAsia="Times New Roman" w:hAnsi="Arial" w:cs="Arial"/>
          <w:color w:val="444444"/>
          <w:sz w:val="20"/>
          <w:szCs w:val="20"/>
          <w:lang w:val="ro-RO"/>
        </w:rPr>
        <w:t xml:space="preserve"> are o semnificatie politica si sociala cu totul speciala, care deriva, in primul rand, din natura juridica a acestora. Ele nu sunt autoritati ale statului care sa exercite vreuna din puterile sale, </w:t>
      </w:r>
      <w:r w:rsidRPr="002678DD">
        <w:rPr>
          <w:rFonts w:ascii="Arial" w:eastAsia="Times New Roman" w:hAnsi="Arial" w:cs="Arial"/>
          <w:color w:val="444444"/>
          <w:sz w:val="20"/>
          <w:szCs w:val="20"/>
          <w:u w:val="single"/>
          <w:lang w:val="ro-RO"/>
        </w:rPr>
        <w:t>menirea lor este numai de a administra(gestiona) treburile unitatilor administrativ-teritoriale in care sunt alese, in interesul locuitorilor, a celor care le-au ales</w:t>
      </w:r>
      <w:r w:rsidRPr="002678DD">
        <w:rPr>
          <w:rFonts w:ascii="Arial" w:eastAsia="Times New Roman" w:hAnsi="Arial" w:cs="Arial"/>
          <w:color w:val="444444"/>
          <w:sz w:val="20"/>
          <w:szCs w:val="20"/>
          <w:lang w:val="ro-RO"/>
        </w:rPr>
        <w:t>.</w:t>
      </w:r>
    </w:p>
    <w:p w:rsidR="002678DD" w:rsidRPr="002678DD" w:rsidRDefault="002678DD" w:rsidP="002678DD">
      <w:pPr>
        <w:spacing w:before="100" w:beforeAutospacing="1" w:after="100" w:afterAutospacing="1" w:line="240" w:lineRule="auto"/>
        <w:rPr>
          <w:rFonts w:ascii="Arial" w:eastAsia="Times New Roman" w:hAnsi="Arial" w:cs="Arial"/>
          <w:color w:val="444444"/>
          <w:sz w:val="20"/>
          <w:szCs w:val="20"/>
          <w:lang w:val="ro-RO"/>
        </w:rPr>
      </w:pPr>
      <w:r w:rsidRPr="002678DD">
        <w:rPr>
          <w:rFonts w:ascii="Arial" w:eastAsia="Times New Roman" w:hAnsi="Arial" w:cs="Arial"/>
          <w:b/>
          <w:bCs/>
          <w:color w:val="444444"/>
          <w:sz w:val="20"/>
          <w:szCs w:val="20"/>
          <w:lang w:val="ro-RO"/>
        </w:rPr>
        <w:t>Principiul legalitatii</w:t>
      </w:r>
      <w:r w:rsidRPr="002678DD">
        <w:rPr>
          <w:rFonts w:ascii="Arial" w:eastAsia="Times New Roman" w:hAnsi="Arial" w:cs="Arial"/>
          <w:color w:val="444444"/>
          <w:sz w:val="20"/>
          <w:szCs w:val="20"/>
          <w:lang w:val="ro-RO"/>
        </w:rPr>
        <w:t xml:space="preserve"> aplicat in administratia publica locala presupune ca autoritatile administratiei publice sa respecte prevederile constitutionale in concordanta cu celelate acte normative in vigoare. Nerespectarea acestor dispozitii, inseamna incalcarea acestui principiu si trage consecinte juridice deosebite.</w:t>
      </w:r>
    </w:p>
    <w:p w:rsidR="002678DD" w:rsidRPr="002678DD" w:rsidRDefault="002678DD" w:rsidP="002678DD">
      <w:pPr>
        <w:spacing w:before="100" w:beforeAutospacing="1" w:after="100" w:afterAutospacing="1" w:line="240" w:lineRule="auto"/>
        <w:rPr>
          <w:rFonts w:ascii="Arial" w:eastAsia="Times New Roman" w:hAnsi="Arial" w:cs="Arial"/>
          <w:color w:val="444444"/>
          <w:sz w:val="20"/>
          <w:szCs w:val="20"/>
          <w:lang w:val="ro-RO"/>
        </w:rPr>
      </w:pPr>
      <w:r w:rsidRPr="002678DD">
        <w:rPr>
          <w:rFonts w:ascii="Arial" w:eastAsia="Times New Roman" w:hAnsi="Arial" w:cs="Arial"/>
          <w:b/>
          <w:bCs/>
          <w:color w:val="444444"/>
          <w:sz w:val="20"/>
          <w:szCs w:val="20"/>
          <w:lang w:val="ro-RO"/>
        </w:rPr>
        <w:t>Principiul colaborarii in infaptuirea administratiei publice locale</w:t>
      </w:r>
      <w:r w:rsidRPr="002678DD">
        <w:rPr>
          <w:rFonts w:ascii="Arial" w:eastAsia="Times New Roman" w:hAnsi="Arial" w:cs="Arial"/>
          <w:color w:val="444444"/>
          <w:sz w:val="20"/>
          <w:szCs w:val="20"/>
          <w:lang w:val="ro-RO"/>
        </w:rPr>
        <w:t xml:space="preserve"> are in vedere, in exclusivitate, numai raporturile dintre administratia publica organizata la nivelul judetului si cea organizata la nivel de comuna sau oras, statuand ca acestea au la baza principiile autonomiei, legalitatii si „colaborarii in rezolvarea problemelor comune”.</w:t>
      </w:r>
    </w:p>
    <w:p w:rsidR="002678DD" w:rsidRPr="002678DD" w:rsidRDefault="002678DD" w:rsidP="002678DD">
      <w:pPr>
        <w:spacing w:before="100" w:beforeAutospacing="1" w:after="100" w:afterAutospacing="1" w:line="240" w:lineRule="auto"/>
        <w:rPr>
          <w:rFonts w:ascii="Arial" w:eastAsia="Times New Roman" w:hAnsi="Arial" w:cs="Arial"/>
          <w:color w:val="444444"/>
          <w:sz w:val="20"/>
          <w:szCs w:val="20"/>
          <w:lang w:val="ro-RO"/>
        </w:rPr>
      </w:pPr>
      <w:r w:rsidRPr="002678DD">
        <w:rPr>
          <w:rFonts w:ascii="Arial" w:eastAsia="Times New Roman" w:hAnsi="Arial" w:cs="Arial"/>
          <w:color w:val="444444"/>
          <w:sz w:val="20"/>
          <w:szCs w:val="20"/>
          <w:lang w:val="ro-RO"/>
        </w:rPr>
        <w:t>Intre administratia judeteana si cea din unitatile administrativ- teritoriale (comuna, oras si municipiu) nu exista raporturi de subordondare, aceasta rezultand si din actiunea principiilor care stau la baza realizarii administratiei publice.</w:t>
      </w:r>
    </w:p>
    <w:p w:rsidR="002678DD" w:rsidRPr="002678DD" w:rsidRDefault="002678DD" w:rsidP="002678DD">
      <w:pPr>
        <w:spacing w:before="100" w:beforeAutospacing="1" w:after="100" w:afterAutospacing="1" w:line="240" w:lineRule="auto"/>
        <w:rPr>
          <w:rFonts w:ascii="Arial" w:eastAsia="Times New Roman" w:hAnsi="Arial" w:cs="Arial"/>
          <w:color w:val="444444"/>
          <w:sz w:val="20"/>
          <w:szCs w:val="20"/>
          <w:lang w:val="ro-RO"/>
        </w:rPr>
      </w:pPr>
      <w:r w:rsidRPr="002678DD">
        <w:rPr>
          <w:rFonts w:ascii="Arial" w:eastAsia="Times New Roman" w:hAnsi="Arial" w:cs="Arial"/>
          <w:color w:val="444444"/>
          <w:sz w:val="20"/>
          <w:szCs w:val="20"/>
          <w:lang w:val="ro-RO"/>
        </w:rPr>
        <w:t>Putem spune că orice principiu, prevazut expres de lege sau desprins dintr-un ansamblu de norme juridice, trebuie sa fie in strictă conformitate cu prevederile constitutionale.</w:t>
      </w:r>
    </w:p>
    <w:p w:rsidR="002678DD" w:rsidRPr="002678DD" w:rsidRDefault="002678DD" w:rsidP="002678DD">
      <w:pPr>
        <w:spacing w:before="100" w:beforeAutospacing="1" w:after="100" w:afterAutospacing="1" w:line="240" w:lineRule="auto"/>
        <w:rPr>
          <w:rFonts w:ascii="Arial" w:eastAsia="Times New Roman" w:hAnsi="Arial" w:cs="Arial"/>
          <w:color w:val="444444"/>
          <w:sz w:val="20"/>
          <w:szCs w:val="20"/>
          <w:lang w:val="ro-RO"/>
        </w:rPr>
      </w:pPr>
      <w:r w:rsidRPr="002678DD">
        <w:rPr>
          <w:rFonts w:ascii="Arial" w:eastAsia="Times New Roman" w:hAnsi="Arial" w:cs="Arial"/>
          <w:color w:val="444444"/>
          <w:sz w:val="20"/>
          <w:szCs w:val="20"/>
          <w:lang w:val="ro-RO"/>
        </w:rPr>
        <w:t>ACTELE NORMATIVE CARE REGLEMENTEAZA ORGANIZAREA SI FUNCTIONAREA INSTITUTIEI</w:t>
      </w:r>
      <w:r w:rsidRPr="002678DD">
        <w:rPr>
          <w:rFonts w:ascii="Arial" w:eastAsia="Times New Roman" w:hAnsi="Arial" w:cs="Arial"/>
          <w:color w:val="444444"/>
          <w:sz w:val="20"/>
          <w:szCs w:val="20"/>
          <w:lang w:val="ro-RO"/>
        </w:rPr>
        <w:br/>
        <w:t>– Constitutia României *** Republicată, publicată în Monitorul Oficial  nr. 767 din 31 octombrie 2003</w:t>
      </w:r>
      <w:r w:rsidRPr="002678DD">
        <w:rPr>
          <w:rFonts w:ascii="Arial" w:eastAsia="Times New Roman" w:hAnsi="Arial" w:cs="Arial"/>
          <w:color w:val="444444"/>
          <w:sz w:val="20"/>
          <w:szCs w:val="20"/>
          <w:lang w:val="ro-RO"/>
        </w:rPr>
        <w:br/>
        <w:t xml:space="preserve">– Legea nr. 340 din 12 iulie 2004  privind prefectul şi instituţia prefectului, republicată, publicată în </w:t>
      </w:r>
      <w:r w:rsidRPr="002678DD">
        <w:rPr>
          <w:rFonts w:ascii="Arial" w:eastAsia="Times New Roman" w:hAnsi="Arial" w:cs="Arial"/>
          <w:color w:val="444444"/>
          <w:sz w:val="20"/>
          <w:szCs w:val="20"/>
          <w:lang w:val="ro-RO"/>
        </w:rPr>
        <w:lastRenderedPageBreak/>
        <w:t>Monitorul Oficial nr.225 din 24 martie 2008</w:t>
      </w:r>
      <w:r w:rsidRPr="002678DD">
        <w:rPr>
          <w:rFonts w:ascii="Arial" w:eastAsia="Times New Roman" w:hAnsi="Arial" w:cs="Arial"/>
          <w:color w:val="444444"/>
          <w:sz w:val="20"/>
          <w:szCs w:val="20"/>
          <w:lang w:val="ro-RO"/>
        </w:rPr>
        <w:br/>
        <w:t>– Hotărârea nr. 460 din 5 aprilie 2006 pentru aplicarea unor prevederi ale Legii nr. 340/2004 privind prefectul şi instituţia prefectului</w:t>
      </w:r>
      <w:r w:rsidRPr="002678DD">
        <w:rPr>
          <w:rFonts w:ascii="Arial" w:eastAsia="Times New Roman" w:hAnsi="Arial" w:cs="Arial"/>
          <w:color w:val="444444"/>
          <w:sz w:val="20"/>
          <w:szCs w:val="20"/>
          <w:lang w:val="ro-RO"/>
        </w:rPr>
        <w:br/>
        <w:t>– Ordonanţa nr. 83 din 30 august 2001 privind înfiinţarea, organizarea şi funcţionarea serviciilor publice comunitare pentru eliberarea şi evidenţa paşapoartelor, cu modificările şi completările ulterioare</w:t>
      </w:r>
      <w:r w:rsidRPr="002678DD">
        <w:rPr>
          <w:rFonts w:ascii="Arial" w:eastAsia="Times New Roman" w:hAnsi="Arial" w:cs="Arial"/>
          <w:color w:val="444444"/>
          <w:sz w:val="20"/>
          <w:szCs w:val="20"/>
          <w:lang w:val="ro-RO"/>
        </w:rPr>
        <w:br/>
        <w:t>– Hotărârea nr. 1693 din 14 octombrie 2004 privind modul de organizare şi funcţionare a serviciilor publice comunitare pentru eliberarea şi evidenţa paşapoartelor simple</w:t>
      </w:r>
      <w:r w:rsidRPr="002678DD">
        <w:rPr>
          <w:rFonts w:ascii="Arial" w:eastAsia="Times New Roman" w:hAnsi="Arial" w:cs="Arial"/>
          <w:color w:val="444444"/>
          <w:sz w:val="20"/>
          <w:szCs w:val="20"/>
          <w:lang w:val="ro-RO"/>
        </w:rPr>
        <w:br/>
        <w:t>– Hotărârea nr. 1767 din 21 octombrie 2004 privind modul de organizare şi funcţionare a serviciilor publice comunitare regim permise de conducere şi înmatriculare a vehiculelor</w:t>
      </w:r>
    </w:p>
    <w:p w:rsidR="00751B9A" w:rsidRPr="002678DD" w:rsidRDefault="00751B9A">
      <w:pPr>
        <w:rPr>
          <w:sz w:val="20"/>
          <w:szCs w:val="20"/>
        </w:rPr>
      </w:pPr>
    </w:p>
    <w:sectPr w:rsidR="00751B9A" w:rsidRPr="002678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678DD"/>
    <w:rsid w:val="002678DD"/>
    <w:rsid w:val="00751B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78DD"/>
    <w:pPr>
      <w:spacing w:after="115" w:line="322" w:lineRule="atLeast"/>
      <w:outlineLvl w:val="0"/>
    </w:pPr>
    <w:rPr>
      <w:rFonts w:ascii="Roboto" w:eastAsia="Times New Roman" w:hAnsi="Roboto" w:cs="Helvetica"/>
      <w:color w:val="444444"/>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8DD"/>
    <w:rPr>
      <w:rFonts w:ascii="Roboto" w:eastAsia="Times New Roman" w:hAnsi="Roboto" w:cs="Helvetica"/>
      <w:color w:val="444444"/>
      <w:kern w:val="36"/>
      <w:sz w:val="28"/>
      <w:szCs w:val="28"/>
    </w:rPr>
  </w:style>
  <w:style w:type="character" w:styleId="Strong">
    <w:name w:val="Strong"/>
    <w:basedOn w:val="DefaultParagraphFont"/>
    <w:uiPriority w:val="22"/>
    <w:qFormat/>
    <w:rsid w:val="002678DD"/>
    <w:rPr>
      <w:b/>
      <w:bCs/>
    </w:rPr>
  </w:style>
  <w:style w:type="paragraph" w:styleId="NormalWeb">
    <w:name w:val="Normal (Web)"/>
    <w:basedOn w:val="Normal"/>
    <w:uiPriority w:val="99"/>
    <w:semiHidden/>
    <w:unhideWhenUsed/>
    <w:rsid w:val="002678DD"/>
    <w:pPr>
      <w:spacing w:before="100" w:beforeAutospacing="1" w:after="100" w:afterAutospacing="1"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1907379">
      <w:bodyDiv w:val="1"/>
      <w:marLeft w:val="0"/>
      <w:marRight w:val="0"/>
      <w:marTop w:val="0"/>
      <w:marBottom w:val="0"/>
      <w:divBdr>
        <w:top w:val="none" w:sz="0" w:space="0" w:color="auto"/>
        <w:left w:val="none" w:sz="0" w:space="0" w:color="auto"/>
        <w:bottom w:val="none" w:sz="0" w:space="0" w:color="auto"/>
        <w:right w:val="none" w:sz="0" w:space="0" w:color="auto"/>
      </w:divBdr>
      <w:divsChild>
        <w:div w:id="1051269026">
          <w:marLeft w:val="-191"/>
          <w:marRight w:val="0"/>
          <w:marTop w:val="0"/>
          <w:marBottom w:val="0"/>
          <w:divBdr>
            <w:top w:val="none" w:sz="0" w:space="0" w:color="auto"/>
            <w:left w:val="none" w:sz="0" w:space="0" w:color="auto"/>
            <w:bottom w:val="none" w:sz="0" w:space="0" w:color="auto"/>
            <w:right w:val="none" w:sz="0" w:space="0" w:color="auto"/>
          </w:divBdr>
          <w:divsChild>
            <w:div w:id="1890413744">
              <w:marLeft w:val="0"/>
              <w:marRight w:val="0"/>
              <w:marTop w:val="0"/>
              <w:marBottom w:val="0"/>
              <w:divBdr>
                <w:top w:val="none" w:sz="0" w:space="0" w:color="auto"/>
                <w:left w:val="none" w:sz="0" w:space="0" w:color="auto"/>
                <w:bottom w:val="none" w:sz="0" w:space="0" w:color="auto"/>
                <w:right w:val="none" w:sz="0" w:space="0" w:color="auto"/>
              </w:divBdr>
              <w:divsChild>
                <w:div w:id="1635260214">
                  <w:marLeft w:val="0"/>
                  <w:marRight w:val="0"/>
                  <w:marTop w:val="0"/>
                  <w:marBottom w:val="0"/>
                  <w:divBdr>
                    <w:top w:val="none" w:sz="0" w:space="0" w:color="auto"/>
                    <w:left w:val="none" w:sz="0" w:space="0" w:color="auto"/>
                    <w:bottom w:val="none" w:sz="0" w:space="0" w:color="auto"/>
                    <w:right w:val="none" w:sz="0" w:space="0" w:color="auto"/>
                  </w:divBdr>
                  <w:divsChild>
                    <w:div w:id="1569225622">
                      <w:marLeft w:val="0"/>
                      <w:marRight w:val="0"/>
                      <w:marTop w:val="0"/>
                      <w:marBottom w:val="0"/>
                      <w:divBdr>
                        <w:top w:val="none" w:sz="0" w:space="0" w:color="auto"/>
                        <w:left w:val="none" w:sz="0" w:space="0" w:color="auto"/>
                        <w:bottom w:val="none" w:sz="0" w:space="0" w:color="auto"/>
                        <w:right w:val="none" w:sz="0" w:space="0" w:color="auto"/>
                      </w:divBdr>
                    </w:div>
                    <w:div w:id="1340308763">
                      <w:marLeft w:val="0"/>
                      <w:marRight w:val="0"/>
                      <w:marTop w:val="0"/>
                      <w:marBottom w:val="0"/>
                      <w:divBdr>
                        <w:top w:val="none" w:sz="0" w:space="0" w:color="auto"/>
                        <w:left w:val="none" w:sz="0" w:space="0" w:color="auto"/>
                        <w:bottom w:val="none" w:sz="0" w:space="0" w:color="auto"/>
                        <w:right w:val="none" w:sz="0" w:space="0" w:color="auto"/>
                      </w:divBdr>
                    </w:div>
                    <w:div w:id="688603394">
                      <w:marLeft w:val="0"/>
                      <w:marRight w:val="0"/>
                      <w:marTop w:val="0"/>
                      <w:marBottom w:val="0"/>
                      <w:divBdr>
                        <w:top w:val="none" w:sz="0" w:space="0" w:color="auto"/>
                        <w:left w:val="none" w:sz="0" w:space="0" w:color="auto"/>
                        <w:bottom w:val="none" w:sz="0" w:space="0" w:color="auto"/>
                        <w:right w:val="none" w:sz="0" w:space="0" w:color="auto"/>
                      </w:divBdr>
                    </w:div>
                    <w:div w:id="262304709">
                      <w:marLeft w:val="0"/>
                      <w:marRight w:val="0"/>
                      <w:marTop w:val="0"/>
                      <w:marBottom w:val="0"/>
                      <w:divBdr>
                        <w:top w:val="none" w:sz="0" w:space="0" w:color="auto"/>
                        <w:left w:val="none" w:sz="0" w:space="0" w:color="auto"/>
                        <w:bottom w:val="none" w:sz="0" w:space="0" w:color="auto"/>
                        <w:right w:val="none" w:sz="0" w:space="0" w:color="auto"/>
                      </w:divBdr>
                    </w:div>
                    <w:div w:id="110979365">
                      <w:marLeft w:val="0"/>
                      <w:marRight w:val="0"/>
                      <w:marTop w:val="0"/>
                      <w:marBottom w:val="0"/>
                      <w:divBdr>
                        <w:top w:val="none" w:sz="0" w:space="0" w:color="auto"/>
                        <w:left w:val="none" w:sz="0" w:space="0" w:color="auto"/>
                        <w:bottom w:val="none" w:sz="0" w:space="0" w:color="auto"/>
                        <w:right w:val="none" w:sz="0" w:space="0" w:color="auto"/>
                      </w:divBdr>
                    </w:div>
                    <w:div w:id="1644655860">
                      <w:marLeft w:val="0"/>
                      <w:marRight w:val="0"/>
                      <w:marTop w:val="0"/>
                      <w:marBottom w:val="0"/>
                      <w:divBdr>
                        <w:top w:val="none" w:sz="0" w:space="0" w:color="auto"/>
                        <w:left w:val="none" w:sz="0" w:space="0" w:color="auto"/>
                        <w:bottom w:val="none" w:sz="0" w:space="0" w:color="auto"/>
                        <w:right w:val="none" w:sz="0" w:space="0" w:color="auto"/>
                      </w:divBdr>
                    </w:div>
                    <w:div w:id="1761825601">
                      <w:marLeft w:val="0"/>
                      <w:marRight w:val="0"/>
                      <w:marTop w:val="0"/>
                      <w:marBottom w:val="0"/>
                      <w:divBdr>
                        <w:top w:val="none" w:sz="0" w:space="0" w:color="auto"/>
                        <w:left w:val="none" w:sz="0" w:space="0" w:color="auto"/>
                        <w:bottom w:val="none" w:sz="0" w:space="0" w:color="auto"/>
                        <w:right w:val="none" w:sz="0" w:space="0" w:color="auto"/>
                      </w:divBdr>
                    </w:div>
                    <w:div w:id="407116471">
                      <w:marLeft w:val="0"/>
                      <w:marRight w:val="0"/>
                      <w:marTop w:val="0"/>
                      <w:marBottom w:val="0"/>
                      <w:divBdr>
                        <w:top w:val="none" w:sz="0" w:space="0" w:color="auto"/>
                        <w:left w:val="none" w:sz="0" w:space="0" w:color="auto"/>
                        <w:bottom w:val="none" w:sz="0" w:space="0" w:color="auto"/>
                        <w:right w:val="none" w:sz="0" w:space="0" w:color="auto"/>
                      </w:divBdr>
                    </w:div>
                    <w:div w:id="1644002387">
                      <w:marLeft w:val="0"/>
                      <w:marRight w:val="0"/>
                      <w:marTop w:val="0"/>
                      <w:marBottom w:val="0"/>
                      <w:divBdr>
                        <w:top w:val="none" w:sz="0" w:space="0" w:color="auto"/>
                        <w:left w:val="none" w:sz="0" w:space="0" w:color="auto"/>
                        <w:bottom w:val="none" w:sz="0" w:space="0" w:color="auto"/>
                        <w:right w:val="none" w:sz="0" w:space="0" w:color="auto"/>
                      </w:divBdr>
                    </w:div>
                    <w:div w:id="669719235">
                      <w:marLeft w:val="0"/>
                      <w:marRight w:val="0"/>
                      <w:marTop w:val="0"/>
                      <w:marBottom w:val="0"/>
                      <w:divBdr>
                        <w:top w:val="none" w:sz="0" w:space="0" w:color="auto"/>
                        <w:left w:val="none" w:sz="0" w:space="0" w:color="auto"/>
                        <w:bottom w:val="none" w:sz="0" w:space="0" w:color="auto"/>
                        <w:right w:val="none" w:sz="0" w:space="0" w:color="auto"/>
                      </w:divBdr>
                    </w:div>
                    <w:div w:id="77641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071782">
      <w:bodyDiv w:val="1"/>
      <w:marLeft w:val="0"/>
      <w:marRight w:val="0"/>
      <w:marTop w:val="0"/>
      <w:marBottom w:val="0"/>
      <w:divBdr>
        <w:top w:val="none" w:sz="0" w:space="0" w:color="auto"/>
        <w:left w:val="none" w:sz="0" w:space="0" w:color="auto"/>
        <w:bottom w:val="none" w:sz="0" w:space="0" w:color="auto"/>
        <w:right w:val="none" w:sz="0" w:space="0" w:color="auto"/>
      </w:divBdr>
      <w:divsChild>
        <w:div w:id="1308170828">
          <w:marLeft w:val="-191"/>
          <w:marRight w:val="0"/>
          <w:marTop w:val="0"/>
          <w:marBottom w:val="0"/>
          <w:divBdr>
            <w:top w:val="none" w:sz="0" w:space="0" w:color="auto"/>
            <w:left w:val="none" w:sz="0" w:space="0" w:color="auto"/>
            <w:bottom w:val="none" w:sz="0" w:space="0" w:color="auto"/>
            <w:right w:val="none" w:sz="0" w:space="0" w:color="auto"/>
          </w:divBdr>
          <w:divsChild>
            <w:div w:id="1690260084">
              <w:marLeft w:val="0"/>
              <w:marRight w:val="0"/>
              <w:marTop w:val="0"/>
              <w:marBottom w:val="0"/>
              <w:divBdr>
                <w:top w:val="none" w:sz="0" w:space="0" w:color="auto"/>
                <w:left w:val="none" w:sz="0" w:space="0" w:color="auto"/>
                <w:bottom w:val="none" w:sz="0" w:space="0" w:color="auto"/>
                <w:right w:val="none" w:sz="0" w:space="0" w:color="auto"/>
              </w:divBdr>
              <w:divsChild>
                <w:div w:id="11261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3783</Characters>
  <Application>Microsoft Office Word</Application>
  <DocSecurity>0</DocSecurity>
  <Lines>31</Lines>
  <Paragraphs>8</Paragraphs>
  <ScaleCrop>false</ScaleCrop>
  <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dc:creator>
  <cp:keywords/>
  <dc:description/>
  <cp:lastModifiedBy>Juridic</cp:lastModifiedBy>
  <cp:revision>2</cp:revision>
  <dcterms:created xsi:type="dcterms:W3CDTF">2018-01-09T16:03:00Z</dcterms:created>
  <dcterms:modified xsi:type="dcterms:W3CDTF">2018-01-09T16:04:00Z</dcterms:modified>
</cp:coreProperties>
</file>