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6D1A" w14:textId="77777777" w:rsidR="007D3D26" w:rsidRDefault="007D3D26"/>
    <w:p w14:paraId="7F15A767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               ORDONANŢĂ   Nr. 63 din 29 august 2002</w:t>
      </w:r>
    </w:p>
    <w:p w14:paraId="7CC4288E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atribuirea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schimbarea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denumiri</w:t>
      </w:r>
      <w:proofErr w:type="spellEnd"/>
    </w:p>
    <w:p w14:paraId="0C54BF75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2A41A653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Text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vigoare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începând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cu data de 26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2007</w:t>
      </w:r>
    </w:p>
    <w:p w14:paraId="3396882F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REALIZATOR: COMPANIA DE INFORMATICĂ NEAMŢ</w:t>
      </w:r>
    </w:p>
    <w:p w14:paraId="30F3383C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7DC1225F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Text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actualizat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produsul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informatic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legislativ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LEX EXPERT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normative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modificatoare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publicate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Monitorul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Oficial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României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Partea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I,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până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la 23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2007:</w:t>
      </w:r>
    </w:p>
    <w:p w14:paraId="755088C6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- </w:t>
      </w:r>
      <w:proofErr w:type="spellStart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>Legea</w:t>
      </w:r>
      <w:proofErr w:type="spellEnd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 xml:space="preserve"> nr. 48/2003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care 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aprobată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modificări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>Ordonanţa</w:t>
      </w:r>
      <w:proofErr w:type="spellEnd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 xml:space="preserve"> nr. 63/2002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;</w:t>
      </w:r>
    </w:p>
    <w:p w14:paraId="2D9C1449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- </w:t>
      </w:r>
      <w:proofErr w:type="spellStart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>Legea</w:t>
      </w:r>
      <w:proofErr w:type="spellEnd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 xml:space="preserve"> nr. 76/2007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;</w:t>
      </w:r>
    </w:p>
    <w:p w14:paraId="57C2EDD7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- </w:t>
      </w:r>
      <w:proofErr w:type="spellStart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>Legea</w:t>
      </w:r>
      <w:proofErr w:type="spellEnd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 xml:space="preserve"> nr. 279/2007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.</w:t>
      </w:r>
    </w:p>
    <w:p w14:paraId="6C2B2938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4ED93A8F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en-US"/>
        </w:rPr>
        <w:t>art. 107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Constituţia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României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ale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en-US"/>
        </w:rPr>
        <w:t>art. 1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pct. IV.5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nr. 411/2002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abilitarea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ordonanţe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,</w:t>
      </w:r>
    </w:p>
    <w:p w14:paraId="7EA86B78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1E2FCD89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Guvernul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României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adoptă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ordonanţă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14:paraId="2AECCCD3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597A7C23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color w:val="FF0000"/>
          <w:kern w:val="0"/>
          <w:sz w:val="28"/>
          <w:szCs w:val="28"/>
          <w:u w:val="single"/>
          <w:lang w:val="en-US"/>
        </w:rPr>
        <w:t>ART. 1</w:t>
      </w:r>
    </w:p>
    <w:p w14:paraId="4AF9417A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Atribuirea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schimbarea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unităţi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administrativ-teritoriale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sate,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localităţi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componente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municipiilor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oraşelor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staţiuni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balneoclimaterice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staţiuni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turistice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se face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lege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14:paraId="5751BB56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Proiectele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legi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propunerile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legislative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atribuirea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schimbarea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potrivit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. (1), se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înaintează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Parlamentului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vederea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adoptării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consultarea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referendum,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condiţiile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cetăţenilor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unităţile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administrativ-teritoriale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respective.</w:t>
      </w:r>
    </w:p>
    <w:p w14:paraId="758CC029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(3)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Referendumul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organizează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numai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unitatea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administrativ-teritorială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localitatea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componentă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cărei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denumire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a fi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schimbată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.</w:t>
      </w:r>
    </w:p>
    <w:p w14:paraId="33B4D0A4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ART. 2</w:t>
      </w:r>
    </w:p>
    <w:p w14:paraId="3AB50536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Atribuirea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schimbarea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altele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decât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la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en-US"/>
        </w:rPr>
        <w:t>art. 1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se face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:</w:t>
      </w:r>
    </w:p>
    <w:p w14:paraId="4D95B618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Guvern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instituţii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obiective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naţional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;</w:t>
      </w:r>
    </w:p>
    <w:p w14:paraId="03778985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autorităţile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centrale,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obiective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instituţii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pe care 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înfiinţează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află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acestora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;</w:t>
      </w:r>
    </w:p>
    <w:p w14:paraId="1BE35BC8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lastRenderedPageBreak/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consiliile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instituţiile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obiectivele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judeţean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avizul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local pe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cărui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teritoriu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amplasate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instituţiile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obiectivele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cauză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;</w:t>
      </w:r>
    </w:p>
    <w:p w14:paraId="7C44BE6D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consiliile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locale,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parcuri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pieţe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oboare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cartiere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străzi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staţii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transport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obiective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instituţii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local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aflate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lor.</w:t>
      </w:r>
    </w:p>
    <w:p w14:paraId="744A5355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color w:val="FF0000"/>
          <w:kern w:val="0"/>
          <w:sz w:val="28"/>
          <w:szCs w:val="28"/>
          <w:u w:val="single"/>
          <w:lang w:val="en-US"/>
        </w:rPr>
        <w:t>ART. 3</w:t>
      </w:r>
    </w:p>
    <w:p w14:paraId="626BC7E8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Proiectele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consiliilor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locale,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obiect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atribuirea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denumire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nume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personalităţi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evenimente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istorice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politice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culturale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altă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natură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schimbarea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astfel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putea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adoptate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numai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analizate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avizate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atribuire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14:paraId="5BE0FC00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atribuire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formată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din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membri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specialişti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domeniile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istoriei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etnografiei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geografiei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lingvisticii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artei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din care un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preşedinte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vicepreşedinte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14:paraId="61307B57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Componenţa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nominală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atribuire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stabileşte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ordin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prefectului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14:paraId="1BF8B5AA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(4)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Secretariatul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atribuire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asigurat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grija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compartimentului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juridic al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instituţiei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prefectului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.</w:t>
      </w:r>
    </w:p>
    <w:p w14:paraId="2F5DF44E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(5)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judeţele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cetăţenii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aparţinând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minorităţi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naţionale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au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pondere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20%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locuitorilor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specialiştii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prevăzuţi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numiţi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rândul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minorităţii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respective.</w:t>
      </w:r>
    </w:p>
    <w:p w14:paraId="42721AFE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(6) ***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Abrogat</w:t>
      </w:r>
      <w:proofErr w:type="spellEnd"/>
    </w:p>
    <w:p w14:paraId="2E826721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(7)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atribuire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funcţionează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regulamentului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ordin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internelor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.</w:t>
      </w:r>
    </w:p>
    <w:p w14:paraId="5BBB2332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color w:val="FF0000"/>
          <w:kern w:val="0"/>
          <w:sz w:val="28"/>
          <w:szCs w:val="28"/>
          <w:u w:val="single"/>
          <w:lang w:val="en-US"/>
        </w:rPr>
        <w:t>ART. 4*)</w:t>
      </w:r>
    </w:p>
    <w:p w14:paraId="35421692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desfăşurată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la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en-US"/>
        </w:rPr>
        <w:t>art. 3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. (2),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acesteia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indemnizaţie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şedinţă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14:paraId="4368BDF9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Cuantumul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indemnizaţiei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şedinţă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sursele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constituire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sumelor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condiţiile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acordare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stabilesc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propunerea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Publice,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termen de 30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publicarea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ordonanţe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Monitorul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Oficial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României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Partea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I.</w:t>
      </w:r>
    </w:p>
    <w:p w14:paraId="244CD89E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------------</w:t>
      </w:r>
    </w:p>
    <w:p w14:paraId="331EF31A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*) A se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vedea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>Hotărârea</w:t>
      </w:r>
      <w:proofErr w:type="spellEnd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>Guvernului</w:t>
      </w:r>
      <w:proofErr w:type="spellEnd"/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 xml:space="preserve"> nr. 1087/2003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stabilirea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cuantumului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indemnizaţiei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şedinţă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judeţene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respectiv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municipiului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Bucureşti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atribuire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.</w:t>
      </w:r>
    </w:p>
    <w:p w14:paraId="4560EDC8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</w:p>
    <w:p w14:paraId="328EFA7B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i/>
          <w:iCs/>
          <w:color w:val="FF0000"/>
          <w:kern w:val="0"/>
          <w:sz w:val="28"/>
          <w:szCs w:val="28"/>
          <w:u w:val="single"/>
          <w:lang w:val="en-US"/>
        </w:rPr>
        <w:t>ART. 5</w:t>
      </w:r>
    </w:p>
    <w:p w14:paraId="322C1EF2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Solicitarea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avizului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atribuire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cazurile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la </w:t>
      </w:r>
      <w:r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en-US"/>
        </w:rPr>
        <w:t>art. 3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. (1),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obligatorie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Avizul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caracter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consultativ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emite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lastRenderedPageBreak/>
        <w:t>votul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majorităţii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termen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mult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60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.</w:t>
      </w:r>
    </w:p>
    <w:p w14:paraId="61ABF0B8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(1^1)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Avizul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atribuire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semnează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preşedinte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iar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absenţa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acestuia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vicepreşedinte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comunică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grija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compartimentului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juridic al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instituţiei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prefectului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.</w:t>
      </w:r>
    </w:p>
    <w:p w14:paraId="1C3EB5A3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avizul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emis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termenul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. (1),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local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ori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judeţean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caz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adopta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atribuire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schimbare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lipsa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acestuia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.</w:t>
      </w:r>
    </w:p>
    <w:p w14:paraId="2CCAEC2F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   (3)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Hotărârile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consiliilor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locale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consiliilor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judeţene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adoptate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fără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solicitarea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avizului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atribuire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sunt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nule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drept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Nulitatea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constată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instanţa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contencios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sesizarea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prefectului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oricărei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persoane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interesate</w:t>
      </w:r>
      <w:proofErr w:type="spellEnd"/>
      <w:r>
        <w:rPr>
          <w:rFonts w:ascii="Times New Roman" w:hAnsi="Times New Roman" w:cs="Times New Roman"/>
          <w:i/>
          <w:iCs/>
          <w:kern w:val="0"/>
          <w:sz w:val="28"/>
          <w:szCs w:val="28"/>
          <w:lang w:val="en-US"/>
        </w:rPr>
        <w:t>.</w:t>
      </w:r>
    </w:p>
    <w:p w14:paraId="7FD382DD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ART. 6</w:t>
      </w:r>
    </w:p>
    <w:p w14:paraId="70505689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Ministerul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Publice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asigură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evidenţei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denumirii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unităţilor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administrativ-teritoriale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localităţilor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componente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municipiilor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oraşelor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staţiunilor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balneoclimaterice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staţiunilor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turistice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14:paraId="5514C885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Autorităţile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centrale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asigură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evidenţei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denumirii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instituţiilor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obiectivelor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aflate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lor.</w:t>
      </w:r>
    </w:p>
    <w:p w14:paraId="195D6ECF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Consiliile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consiliile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locale,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asigură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evidenţei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denumirii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instituţiilor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obiectivelor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la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en-US"/>
        </w:rPr>
        <w:t>art. 2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lit.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existente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pe raza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unităţilor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administrativ-teritoriale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funcţionează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14:paraId="3070C288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ART. 7</w:t>
      </w:r>
    </w:p>
    <w:p w14:paraId="70E3B23F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Pe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intrării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vigoare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ordonanţe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abrogă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en-US"/>
        </w:rPr>
        <w:t>Decretul-lege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en-US"/>
        </w:rPr>
        <w:t xml:space="preserve"> nr. 100/1990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atribuirea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schimbarea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denumiri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republicat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Monitorul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Oficial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României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Partea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I, nr. 118 din 30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1990,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dispoziţii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contrare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.</w:t>
      </w:r>
    </w:p>
    <w:p w14:paraId="6A3A08BB" w14:textId="77777777" w:rsidR="00C9542D" w:rsidRDefault="00C9542D" w:rsidP="00C95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en-US"/>
        </w:rPr>
      </w:pPr>
    </w:p>
    <w:p w14:paraId="1569C4D5" w14:textId="4F6DD2DD" w:rsidR="00C9542D" w:rsidRDefault="00C9542D" w:rsidP="00C9542D"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 xml:space="preserve">                              ---------------</w:t>
      </w:r>
    </w:p>
    <w:sectPr w:rsidR="00C9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F7"/>
    <w:rsid w:val="00007F1F"/>
    <w:rsid w:val="000B1860"/>
    <w:rsid w:val="001168E0"/>
    <w:rsid w:val="001909CB"/>
    <w:rsid w:val="0034286F"/>
    <w:rsid w:val="00447ED4"/>
    <w:rsid w:val="004C66F0"/>
    <w:rsid w:val="00640A85"/>
    <w:rsid w:val="006A1E12"/>
    <w:rsid w:val="00735AAD"/>
    <w:rsid w:val="007D3D26"/>
    <w:rsid w:val="00844803"/>
    <w:rsid w:val="008E35A4"/>
    <w:rsid w:val="00945E51"/>
    <w:rsid w:val="00A53C1F"/>
    <w:rsid w:val="00C9542D"/>
    <w:rsid w:val="00CD1B08"/>
    <w:rsid w:val="00D25AFA"/>
    <w:rsid w:val="00DA0155"/>
    <w:rsid w:val="00EF01F7"/>
    <w:rsid w:val="00F357BD"/>
    <w:rsid w:val="00F4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3D18"/>
  <w15:chartTrackingRefBased/>
  <w15:docId w15:val="{C3EDB6C1-DA78-4589-A643-5EC1D767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Licente2 Dms</dc:creator>
  <cp:keywords/>
  <dc:description/>
  <cp:lastModifiedBy>Licente2 Dms</cp:lastModifiedBy>
  <cp:revision>2</cp:revision>
  <dcterms:created xsi:type="dcterms:W3CDTF">2024-02-27T07:02:00Z</dcterms:created>
  <dcterms:modified xsi:type="dcterms:W3CDTF">2024-02-27T07:02:00Z</dcterms:modified>
</cp:coreProperties>
</file>